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33</w:t>
      </w:r>
    </w:p>
    <w:p>
      <w:r>
        <w:t>Bundesgericht (BGE), 1969-08-26, FR</w:t>
      </w:r>
    </w:p>
    <w:p>
      <w:r>
        <w:rPr>
          <w:b/>
        </w:rPr>
        <w:t xml:space="preserve">Quelle: </w:t>
      </w:r>
      <w:r>
        <w:t>https://mcp.opencaselaw.ch/entscheid/bge_95 III 33</w:t>
      </w:r>
    </w:p>
    <w:p>
      <w:r>
        <w:t>FR: ATF 95 III 33</w:t>
      </w:r>
    </w:p>
    <w:p>
      <w:r>
        <w:t>IT: DTF 95 III 33</w:t>
      </w:r>
    </w:p>
    <w:p>
      <w:pPr>
        <w:pStyle w:val="Heading2"/>
      </w:pPr>
      <w:r>
        <w:t>Regeste</w:t>
      </w:r>
    </w:p>
    <w:p>
      <w:r>
        <w:t>Regeste 1. Art. 67 Abs. 1 Ziff. 4 SchKG verpflichtet den Gläubiger nicht, im Betreibungsbegehren den Titel anzugeben, kraft dessen die Forderung fällig ist (Erw. 1). 2. Wenn ein Gläubiger die Fälligkeit der Forderung eines andern Gläubigers bestreitet, hat er gegen diesen eine Klage auf Anfechtung des Kollokationsplans einzuleiten (Erw. 1). 3. Art. 95 VZG verbietet dem Amte nicht, eingegangene Mietzinse für Abschlagszahlungen zur teilweisen Rückzahlung des einem vorgehenden Pfandgläubiger geschuldeten Kapitals zu verwenden, selbst wenn ein nachgehender Pfandgläubiger für die Zinsen oder für verfallene Annuitäten nicht befriedigt worden ist (Erw. 2).</w:t>
      </w:r>
    </w:p>
    <w:p>
      <w:pPr>
        <w:pStyle w:val="Heading2"/>
      </w:pPr>
      <w:r>
        <w:t>Erwägungen</w:t>
      </w:r>
    </w:p>
    <w:p>
      <w:r>
        <w:rPr>
          <w:b/>
        </w:rPr>
        <w:t>E. 1</w:t>
      </w:r>
    </w:p>
    <w:p>
      <w:r>
        <w:t>La recourante persiste à soutenir que le commandement de payer no 32176, rédigé par l'office à la réquisition d'Adrien Foretay, n'est pas régulier parce qu'il n'énonce pas le titre en vertu duquel le remboursement de la cédule hypothécaire serait exigible. Mais, comme l'ont relevé les autorités vaudoises, la loi n'exige pas d'autre indication que celle du titre de la créance et de sa date ou, à défaut de titre, la cause de l'obligation (art. 67 ch. 4 et 69 ch. 1 LP). En l'espèce, la réquisition de poursuite formée par Adrien Foretay porte la mention: "Remboursement de la cédule hypothécaire no 259100 de 32 000 fr. plus intérêt à 5 1/2% échu le 20 janvier 1969 par 880 fr., total 32 880 fr." Ces indications satisfont aux exigences légales. Contrairement à l'avis de la recourante, aucune disposition légale n'oblige le créancier à indiquer le titre en vertu duquel la créance est exigible. L'office des poursuites n'a pas à l'établir. Il n'avait donc pas à rechercher si le prêt constaté dans la cédule hypothécaire avait été dénoncé au remboursement. Si le débiteur poursuivi conteste l'exigibilité de la créance, il doit former opposition à la poursuite et la question est tranchée par le juge, soit en procédure de mainlevée, soit en procédure ordinaire. Si un autre créancier poursuivant conteste l'exigibilité de la créance, il doit intenter une action en contestation de l'état de collocation, conformément à l'art. 148 LP qui s'applique à la poursuite BGE 95 III 33 S. 37 en réalisation de gage en vertu du renvoi de l'art. 157 al. 3 LP, mais aussi pour l'état de collocation dressé en vue de la répartition provisoire du produit net des loyers, conformément à l'art. 95 ORI, qui renvoie précisément à l'art. 157 al. 3 LP.</w:t>
      </w:r>
    </w:p>
    <w:p>
      <w:r>
        <w:rPr>
          <w:b/>
        </w:rPr>
        <w:t>E. 2</w:t>
      </w:r>
    </w:p>
    <w:p>
      <w:r>
        <w:t>Critiquant l'interprétation donnée par l'autorité cantonale à l'art. 95 ORI, la recourante prétend que cette disposition n'autorise pas l'office à rembourser, au moyen des loyers perçus par lui, le capital d'une cédule hypothécaire avant que les créanciers poursuivants de rang postérieur aient obtenu le paiement des intérêts échus ou des annuités échues. Il est vrai qu'aux termes de l'art. 95 al. 1 ORI, les loyers et fermages perçus par l'office ne peuvent être affectés au service des intérêts des créances garanties par gage qui ne font pas l'objet de poursuites; par contre, des acomptes peuvent être payés, même avant la réquisition de vente, au créancier poursuivant qui prouve que sa créance a été reconnue par le débiteur ou constatée par prononcé définitif. L'argument que la recourante prétend tirer e contrario de cette disposition n'est cependant pas fondé. Les loyers perçus par l'office ne peuvent évidemment pas servir à payer le capital de créances qui n'ont pas fait l'objet d'une poursuite. Il restait à décider si ces loyers pouvaient être affectés au service des intérêts de pareilles créances. L'ordonnance résout la question par la négative. Cela ne signifie pas qu'à l'égard d'un créancier poursuivant, l'utilisation des loyers perçus par l'office soit limitée au paiement des seuls intérêts échus. Les travaux préparatoires de l'ordonnance n'apportent du reste aucun élément à l'appui d'une telle interprétation. Avec raison, l'autorité cantonale s'est référée aux règles générales de l'art. 22 ORI concernant la distribution provisoire des loyers perçus par l'office dans la poursuite par voie de saisie. Ces loyers sont affectés en premier lieu au désintéressement des créanciers gagistes qui ont intenté une poursuite. Il ressort des travaux préparatoires que la disposition en question a été introduite dans l'ordonnance en vue notamment de prévenir les conséquences que l'on aurait pu tirer de l'arrêt Schlesinger (RO 41 III 380) et de permettre l'affectation des loyers, sans restriction, au paiement des créanciers hypothécaires qui bénéficiaient d'un gage comprenant les loyers en vertu de l'art. 806 CC (cf. remarques et propositions relatives à l'avantprojet, BGE 95 III 33 S. 38 p. 5, ad art. 17; procès-verbal de la commission d'experts, p. 8, séance du 14 juillet 1919, ad art. 17). L'interprétation que l'autorité cantonale a donnée à l'art. 95 al. 1 ORI trouve également un appui dans d'autres dispositions de l'ordonnance. Ainsi, dans la poursuite par voie de saisie, lorsque l'immeuble est compris dans plusieurs saisies successives, ses fruits et produits, tant que la saisie de l'immeuble même subsiste, sont affectés par préférence au paiement des créanciers au bénéfice de la saisie antérieure alors même qu'ils ont été réalisés ou ne sont échus qu'après l'exécution de la saisie postérieure (art. 83 ORI). Dans la poursuite en réalisation de gage, s'il y a contestation sur la répartition provisoire du produit net des loyers entre plusieurs créanciers gagistes qui ont intenté des poursuites, l'art. 95 al. 2 ORI prescrit de dresser un état de collocation conformément à l'art. 157 al. 3 LP. En vertu de l'art. 219 al. 3 LP, auquel renvoie l'art. 157 al. 3 LP, l'ordre des créances est déterminé par les règles du droit civil sur le gage immobilier. Or l'art. 817 al. 1 CC porte que le prix de vente de l'immeuble est distribué entre les créanciers selon leur rang. Et si plusieurs créanciers gagistes ont requis la poursuite à des dates différentes, le créancier de rang antérieur a droit par préférence aux loyers et fermages échus depuis la réquisition de poursuite (cf. art. 806 al. 1 CC et 114 al. 2 ORI). Il est ainsi conforme à la loi civile et aux règles de l'exécution forcée que les créanciers de rang antérieur soient désintéressés avant les autres. La décision attaquée n'est donc pas contraire à l'ordonnance, ni au système de la loi. Il s'ensuit que le recours est mal fondé.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